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B2" w:rsidRDefault="00F37D2B">
      <w:pPr>
        <w:rPr>
          <w:rFonts w:ascii="Times New Roman" w:hAnsi="Times New Roman" w:cs="Times New Roman"/>
          <w:b/>
          <w:sz w:val="28"/>
        </w:rPr>
      </w:pP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  <w:r w:rsidRPr="008B39BF">
        <w:rPr>
          <w:rFonts w:ascii="Times New Roman" w:hAnsi="Times New Roman" w:cs="Times New Roman"/>
        </w:rPr>
        <w:tab/>
      </w:r>
    </w:p>
    <w:p w:rsidR="008B39BF" w:rsidRPr="008B39BF" w:rsidRDefault="008B39BF">
      <w:pPr>
        <w:rPr>
          <w:rFonts w:ascii="Times New Roman" w:hAnsi="Times New Roman" w:cs="Times New Roman"/>
        </w:rPr>
      </w:pPr>
    </w:p>
    <w:p w:rsidR="001A7713" w:rsidRPr="008B39BF" w:rsidRDefault="00983D93" w:rsidP="001A7713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</w:t>
      </w:r>
      <w:r w:rsidR="004338CB">
        <w:rPr>
          <w:rFonts w:ascii="Times New Roman" w:eastAsia="Times New Roman" w:hAnsi="Times New Roman" w:cs="Times New Roman"/>
          <w:color w:val="000000"/>
          <w:lang w:eastAsia="hr-HR"/>
        </w:rPr>
        <w:t>45</w:t>
      </w:r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>. Zakona o proračunu (</w:t>
      </w:r>
      <w:proofErr w:type="spellStart"/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proofErr w:type="spellEnd"/>
      <w:r w:rsidR="00F84CB2"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. br. </w:t>
      </w:r>
      <w:r w:rsidR="004338CB">
        <w:rPr>
          <w:rFonts w:ascii="Times New Roman" w:eastAsia="Times New Roman" w:hAnsi="Times New Roman" w:cs="Times New Roman"/>
          <w:color w:val="000000"/>
          <w:lang w:eastAsia="hr-HR"/>
        </w:rPr>
        <w:t>144/21</w:t>
      </w:r>
      <w:r w:rsidRPr="008B39B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</w:t>
      </w:r>
      <w:r w:rsidR="001A7713" w:rsidRPr="008B39BF">
        <w:rPr>
          <w:rFonts w:ascii="Times New Roman" w:hAnsi="Times New Roman" w:cs="Times New Roman"/>
          <w:iCs/>
          <w:sz w:val="24"/>
        </w:rPr>
        <w:t xml:space="preserve">i članka </w:t>
      </w:r>
      <w:r w:rsidR="001A7713" w:rsidRPr="008B39BF">
        <w:rPr>
          <w:rFonts w:ascii="Times New Roman" w:hAnsi="Times New Roman" w:cs="Times New Roman"/>
          <w:sz w:val="24"/>
        </w:rPr>
        <w:t xml:space="preserve">28. Statuta Općine Šolta, Općinsko vijeće Općine Šolta („Službeni glasnik Općine Šolta“ br. </w:t>
      </w:r>
      <w:r w:rsidR="00466CB1">
        <w:rPr>
          <w:rFonts w:ascii="Times New Roman" w:hAnsi="Times New Roman" w:cs="Times New Roman"/>
          <w:sz w:val="24"/>
        </w:rPr>
        <w:t>06/21</w:t>
      </w:r>
      <w:r w:rsidR="001A7713" w:rsidRPr="008B39BF">
        <w:rPr>
          <w:rFonts w:ascii="Times New Roman" w:hAnsi="Times New Roman" w:cs="Times New Roman"/>
          <w:sz w:val="24"/>
        </w:rPr>
        <w:t>)</w:t>
      </w:r>
      <w:r w:rsidR="001A7713" w:rsidRPr="008B39BF">
        <w:rPr>
          <w:rFonts w:ascii="Times New Roman" w:hAnsi="Times New Roman" w:cs="Times New Roman"/>
          <w:sz w:val="24"/>
          <w:lang w:val="pl-PL"/>
        </w:rPr>
        <w:t xml:space="preserve"> Općinsko vijeće Općine Šolta na </w:t>
      </w:r>
      <w:r w:rsidR="008E7895">
        <w:rPr>
          <w:rFonts w:ascii="Times New Roman" w:hAnsi="Times New Roman" w:cs="Times New Roman"/>
          <w:sz w:val="24"/>
          <w:lang w:val="pl-PL"/>
        </w:rPr>
        <w:t>____</w:t>
      </w:r>
      <w:r w:rsidR="001077F4">
        <w:rPr>
          <w:rFonts w:ascii="Times New Roman" w:hAnsi="Times New Roman" w:cs="Times New Roman"/>
          <w:sz w:val="24"/>
          <w:lang w:val="pl-PL"/>
        </w:rPr>
        <w:t xml:space="preserve">. </w:t>
      </w:r>
      <w:r w:rsidR="001A7713" w:rsidRPr="008B39BF">
        <w:rPr>
          <w:rFonts w:ascii="Times New Roman" w:hAnsi="Times New Roman" w:cs="Times New Roman"/>
          <w:sz w:val="24"/>
          <w:lang w:val="pl-PL"/>
        </w:rPr>
        <w:t xml:space="preserve">sjednici održanoj </w:t>
      </w:r>
      <w:r w:rsidR="008E7895">
        <w:rPr>
          <w:rFonts w:ascii="Times New Roman" w:hAnsi="Times New Roman" w:cs="Times New Roman"/>
          <w:sz w:val="24"/>
          <w:lang w:val="pl-PL"/>
        </w:rPr>
        <w:t>____</w:t>
      </w:r>
      <w:r w:rsidR="004338CB">
        <w:rPr>
          <w:rFonts w:ascii="Times New Roman" w:hAnsi="Times New Roman" w:cs="Times New Roman"/>
          <w:sz w:val="24"/>
          <w:lang w:val="pl-PL"/>
        </w:rPr>
        <w:t>.202</w:t>
      </w:r>
      <w:r w:rsidR="008E7895">
        <w:rPr>
          <w:rFonts w:ascii="Times New Roman" w:hAnsi="Times New Roman" w:cs="Times New Roman"/>
          <w:sz w:val="24"/>
          <w:lang w:val="pl-PL"/>
        </w:rPr>
        <w:t>3</w:t>
      </w:r>
      <w:r w:rsidR="001A7713" w:rsidRPr="008B39BF">
        <w:rPr>
          <w:rFonts w:ascii="Times New Roman" w:hAnsi="Times New Roman" w:cs="Times New Roman"/>
          <w:sz w:val="24"/>
          <w:lang w:val="pl-PL"/>
        </w:rPr>
        <w:t>. godine donijelo je</w:t>
      </w:r>
    </w:p>
    <w:p w:rsidR="00F84CB2" w:rsidRPr="008B39BF" w:rsidRDefault="00F84CB2" w:rsidP="00F84CB2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F84CB2" w:rsidRDefault="00F84CB2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D286D" w:rsidRDefault="00ED286D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D286D" w:rsidRPr="008B39BF" w:rsidRDefault="00ED286D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84CB2" w:rsidRDefault="00F84CB2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B976F8" w:rsidRDefault="00B976F8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B976F8" w:rsidRPr="008B39BF" w:rsidRDefault="00B976F8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F84CB2" w:rsidRPr="008B39BF" w:rsidRDefault="00F84CB2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F84CB2" w:rsidRPr="00ED286D" w:rsidRDefault="00ED286D" w:rsidP="00F84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</w:pPr>
      <w:r w:rsidRP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hr-HR"/>
        </w:rPr>
        <w:t>IZMJENE I DOPUNE</w:t>
      </w:r>
    </w:p>
    <w:p w:rsidR="00F84CB2" w:rsidRPr="008B39BF" w:rsidRDefault="001A7713" w:rsidP="00ED286D">
      <w:pPr>
        <w:jc w:val="center"/>
        <w:rPr>
          <w:rFonts w:ascii="Times New Roman" w:hAnsi="Times New Roman" w:cs="Times New Roman"/>
          <w:sz w:val="44"/>
          <w:szCs w:val="44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PRORAČUN</w:t>
      </w:r>
      <w:r w:rsid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A</w:t>
      </w:r>
      <w:r w:rsidR="00983D93"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 OPĆINE ŠOLTA ZA 20</w:t>
      </w:r>
      <w:r w:rsidR="00ED28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2</w:t>
      </w:r>
      <w:r w:rsidR="008E789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3</w:t>
      </w:r>
      <w:r w:rsidR="00F84CB2"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. GODINU</w:t>
      </w: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 w:rsidP="00F84CB2">
      <w:pPr>
        <w:spacing w:after="0"/>
        <w:rPr>
          <w:rFonts w:ascii="Times New Roman" w:hAnsi="Times New Roman" w:cs="Times New Roman"/>
        </w:rPr>
      </w:pPr>
    </w:p>
    <w:p w:rsidR="00F84CB2" w:rsidRPr="008B39BF" w:rsidRDefault="00F84CB2">
      <w:pPr>
        <w:jc w:val="center"/>
        <w:rPr>
          <w:rFonts w:ascii="Times New Roman" w:hAnsi="Times New Roman" w:cs="Times New Roman"/>
        </w:rPr>
      </w:pPr>
    </w:p>
    <w:p w:rsidR="00ED0A20" w:rsidRDefault="00ED0A20">
      <w:pPr>
        <w:jc w:val="center"/>
        <w:rPr>
          <w:rFonts w:ascii="Times New Roman" w:hAnsi="Times New Roman" w:cs="Times New Roman"/>
        </w:rPr>
      </w:pPr>
    </w:p>
    <w:p w:rsidR="007913A4" w:rsidRPr="007913A4" w:rsidRDefault="007913A4">
      <w:pPr>
        <w:jc w:val="center"/>
        <w:rPr>
          <w:rFonts w:ascii="Times New Roman" w:hAnsi="Times New Roman" w:cs="Times New Roman"/>
          <w:b/>
          <w:sz w:val="24"/>
        </w:rPr>
      </w:pPr>
      <w:r w:rsidRPr="007913A4">
        <w:rPr>
          <w:rFonts w:ascii="Times New Roman" w:hAnsi="Times New Roman" w:cs="Times New Roman"/>
          <w:b/>
          <w:sz w:val="24"/>
        </w:rPr>
        <w:lastRenderedPageBreak/>
        <w:t>Članak 1.</w:t>
      </w:r>
    </w:p>
    <w:p w:rsidR="006F5E3B" w:rsidRPr="006F5E3B" w:rsidRDefault="006F5E3B">
      <w:pPr>
        <w:jc w:val="center"/>
        <w:rPr>
          <w:rFonts w:ascii="Times New Roman" w:hAnsi="Times New Roman" w:cs="Times New Roman"/>
          <w:b/>
          <w:sz w:val="32"/>
        </w:rPr>
      </w:pPr>
      <w:r w:rsidRPr="006F5E3B">
        <w:rPr>
          <w:rFonts w:ascii="Times New Roman" w:hAnsi="Times New Roman" w:cs="Times New Roman"/>
          <w:b/>
          <w:sz w:val="32"/>
        </w:rPr>
        <w:t>OPĆI DIO</w:t>
      </w:r>
    </w:p>
    <w:p w:rsidR="00ED0A20" w:rsidRDefault="00ED0A20">
      <w:pPr>
        <w:jc w:val="center"/>
        <w:rPr>
          <w:rFonts w:ascii="Times New Roman" w:hAnsi="Times New Roman" w:cs="Times New Roman"/>
        </w:rPr>
      </w:pPr>
    </w:p>
    <w:tbl>
      <w:tblPr>
        <w:tblW w:w="10949" w:type="dxa"/>
        <w:jc w:val="center"/>
        <w:tblInd w:w="93" w:type="dxa"/>
        <w:tblLook w:val="04A0" w:firstRow="1" w:lastRow="0" w:firstColumn="1" w:lastColumn="0" w:noHBand="0" w:noVBand="1"/>
      </w:tblPr>
      <w:tblGrid>
        <w:gridCol w:w="430"/>
        <w:gridCol w:w="5117"/>
        <w:gridCol w:w="1371"/>
        <w:gridCol w:w="1463"/>
        <w:gridCol w:w="1463"/>
        <w:gridCol w:w="1371"/>
      </w:tblGrid>
      <w:tr w:rsidR="008E7895" w:rsidRPr="008E7895" w:rsidTr="008E7895">
        <w:trPr>
          <w:trHeight w:val="810"/>
          <w:jc w:val="center"/>
        </w:trPr>
        <w:tc>
          <w:tcPr>
            <w:tcW w:w="10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OPĆI DIO</w:t>
            </w:r>
          </w:p>
        </w:tc>
      </w:tr>
      <w:tr w:rsidR="008E7895" w:rsidRPr="008E7895" w:rsidTr="008E7895">
        <w:trPr>
          <w:trHeight w:val="57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2023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PRIHODA I RASHODA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5.991.900,00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588.765,22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6.580.665,22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od prodaje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2.470.400,00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424.200,00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17.2%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2.894.600,00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2.940.500,00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2.990.500,00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RAZLIKA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631.000,00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114.565,22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18.2%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745.565,22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ZADUŽIVANJA/FINANCIRANJA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21.000,00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NETO ZADUŽIVANJE/FINANCIRANJE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RASPOLOŽIVA SREDSTVA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VIŠAK/MANJAK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-114.565,22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17.6%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-764.565,22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</w:tbl>
    <w:p w:rsidR="00EA48FC" w:rsidRDefault="00EA48FC">
      <w:pPr>
        <w:jc w:val="center"/>
        <w:rPr>
          <w:rFonts w:ascii="Times New Roman" w:hAnsi="Times New Roman" w:cs="Times New Roman"/>
        </w:rPr>
      </w:pPr>
    </w:p>
    <w:p w:rsidR="00DF43A4" w:rsidRDefault="00DF43A4">
      <w:pPr>
        <w:jc w:val="center"/>
        <w:rPr>
          <w:rFonts w:ascii="Times New Roman" w:hAnsi="Times New Roman" w:cs="Times New Roman"/>
        </w:rPr>
      </w:pPr>
    </w:p>
    <w:tbl>
      <w:tblPr>
        <w:tblW w:w="11199" w:type="dxa"/>
        <w:jc w:val="center"/>
        <w:tblInd w:w="93" w:type="dxa"/>
        <w:tblLook w:val="04A0" w:firstRow="1" w:lastRow="0" w:firstColumn="1" w:lastColumn="0" w:noHBand="0" w:noVBand="1"/>
      </w:tblPr>
      <w:tblGrid>
        <w:gridCol w:w="1023"/>
        <w:gridCol w:w="4508"/>
        <w:gridCol w:w="1371"/>
        <w:gridCol w:w="1463"/>
        <w:gridCol w:w="1463"/>
        <w:gridCol w:w="1371"/>
      </w:tblGrid>
      <w:tr w:rsidR="008E7895" w:rsidRPr="008E7895" w:rsidTr="008E7895">
        <w:trPr>
          <w:trHeight w:val="85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KONTA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%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2023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5.991.900,00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588.765,22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9.8%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6.580.665,22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Prihodi od poreza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1.672.400,00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588.765,22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35.2%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2.261.165,22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Pomoći iz inozemstva i od subjekata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3.000.000,00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3.000.000,00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Prihodi od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236.500,00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236.500,00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1.078.000,00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1.078.000,00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prodaje proizvoda i robe te pruženih </w:t>
            </w: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usluga i prihodi od donacija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68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Kazne, upravne mjere i ostali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od prodaje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50.000,00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prodaje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2.470.400,00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424.200,00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17.2%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2.894.600,00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255.500,00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-3.9%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245.500,00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1.268.800,00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231.300,00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18.2%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1.500.100,00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260.000,00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130.000,00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390.000,00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25.900,00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291.000,00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9.6%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319.000,00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360.600,00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44.500,00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12.3%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405.100,00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2.940.500,00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1.7%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2.990.500,00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322.000,00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322.000,00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2.618.500,00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2.668.500,00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B. RAČUN ZADUŽIVANJA/FINANCIRANJA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Primici od financijske imovine i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21.000,00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21.000,00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Primljeni povrati glavnica danih zajmova i depozita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Primici od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C. RASPOLOŽIVA SREDSTVA IZ PRETHODNIH GODINA</w:t>
            </w:r>
          </w:p>
        </w:tc>
      </w:tr>
      <w:tr w:rsidR="008E7895" w:rsidRPr="008E7895" w:rsidTr="008E7895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Vlastiti izvori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-650.000,00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-114.565,22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17.6%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-764.565,22</w:t>
            </w:r>
          </w:p>
        </w:tc>
      </w:tr>
      <w:tr w:rsidR="008E7895" w:rsidRPr="008E7895" w:rsidTr="008E789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Rezultat poslovanja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-650.000,00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-114.565,22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17.6%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-764.565,22</w:t>
            </w:r>
          </w:p>
        </w:tc>
      </w:tr>
    </w:tbl>
    <w:p w:rsidR="00DF43A4" w:rsidRDefault="00DF43A4">
      <w:pPr>
        <w:jc w:val="center"/>
        <w:rPr>
          <w:rFonts w:ascii="Times New Roman" w:hAnsi="Times New Roman" w:cs="Times New Roman"/>
        </w:rPr>
      </w:pPr>
    </w:p>
    <w:p w:rsidR="00ED0A20" w:rsidRDefault="007913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ED0A20" w:rsidRDefault="005F1435">
      <w:pPr>
        <w:jc w:val="center"/>
        <w:rPr>
          <w:rFonts w:ascii="Times New Roman" w:hAnsi="Times New Roman" w:cs="Times New Roman"/>
          <w:b/>
          <w:sz w:val="32"/>
        </w:rPr>
      </w:pPr>
      <w:r w:rsidRPr="005F1435">
        <w:rPr>
          <w:rFonts w:ascii="Times New Roman" w:hAnsi="Times New Roman" w:cs="Times New Roman"/>
          <w:b/>
          <w:sz w:val="32"/>
        </w:rPr>
        <w:t xml:space="preserve">POSEBNI DIO </w:t>
      </w:r>
    </w:p>
    <w:tbl>
      <w:tblPr>
        <w:tblW w:w="107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4618"/>
        <w:gridCol w:w="1371"/>
        <w:gridCol w:w="1463"/>
        <w:gridCol w:w="889"/>
        <w:gridCol w:w="1371"/>
      </w:tblGrid>
      <w:tr w:rsidR="008E7895" w:rsidRPr="008E7895" w:rsidTr="00A47B70">
        <w:trPr>
          <w:trHeight w:val="855"/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KONTA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PROMJENA IZNOS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PROM</w:t>
            </w:r>
            <w:r w:rsidR="00A47B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JENA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%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2023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SVEUKUPNO RASHODI / IZDACI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5.412.900,00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474.200,00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8,76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5.887.100,00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Razdjel 001 JEDINSTVENI UPRAVNI ODJEL</w:t>
            </w:r>
          </w:p>
        </w:tc>
        <w:tc>
          <w:tcPr>
            <w:tcW w:w="1371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5.322.900,00</w:t>
            </w:r>
          </w:p>
        </w:tc>
        <w:tc>
          <w:tcPr>
            <w:tcW w:w="1463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459.200,00</w:t>
            </w:r>
          </w:p>
        </w:tc>
        <w:tc>
          <w:tcPr>
            <w:tcW w:w="886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8,63</w:t>
            </w:r>
          </w:p>
        </w:tc>
        <w:tc>
          <w:tcPr>
            <w:tcW w:w="1371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5.782.100,00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1001 UČINKOVITA OPĆINSKA UPRAVA I ADMINISTRACIJA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0,05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429.200,00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OPĆINSKE UPRAVE I ADMINISTRACIJE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0,05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429.200,00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0,05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429.200,00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0,05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429.200,00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400.200,00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216.000,00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-4,63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206.000,00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177.000,00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5,65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29.000,00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29.000,00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1002 ODRŽAVANJE KOMUNALNE INFRASTRUKTURE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421.800,00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221.000,00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52,39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642.800,00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 JAVNE RASVJETE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101.600,00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9,84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111.600,00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101.600,00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9,84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111.600,00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101.600,00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9,84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111.600,00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101.600,00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9,84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111.600,00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101.600,00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9,84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111.600,00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ODRŽAVANJE MJESNIH GROBLJA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24.700,00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40,49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24.700,00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40,49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24.700,00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40,49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24.700,00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40,49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34.700,00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24.700,00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40,49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34.700,00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ODRŽAVANJE NERAZVRSTANIH CESTA I POLJSKIH PUTOVA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93.000,00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78.000,00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83,87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93.000,00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71.000,00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76,34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93.000,00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71.000,00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76,34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93.000,00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71.000,00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76,34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164.000,00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93.000,00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71.000,00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76,34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164.000,00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ODRŽAVANJE JAVNIH POVRŠINA NA KOJIMA NIJE DOPUŠTEN PROMET MOTORNIM VOZILIMA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52,94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52,94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52,94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52,94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52,94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A100005 ODRŽAVANJE JAVNIH ZELENIH POVRŠINA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72,73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72,73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72,73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48.000,00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72,73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114.000,00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72,73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114.000,00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Aktivnost A100006 ODRŽAVANJE ČISTOĆE JAVNIH POVRŠINA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87,50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87,50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87,50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87,50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14.000,00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87,50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A100007 ODRŽAVANJE GRAĐEVINA, UREĐAJA I PREDMETA JAVNE NAMJENE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48.000,00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16.000,00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A100008 DEZINFEKCIJA, DEZINSEKCIJA I DERATIZACIJA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1003 GRAĐENJE KOMUNALNE INFRASTRUKTURE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1.630.000,00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1.630.000,00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NOVE DIONICE JAVNE RASVJETE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PROŠIRENJE I UREĐENJE MJESNIH GROBLJA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47.000,00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proizvedene dugotrajne </w:t>
            </w: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75.000,00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Aktivnost A100003 MODERNIZACIJA NERAZVRSTANIH CESTA I PUTOVA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UREĐENJE JAVNO PROMETNIH POVRŠINA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155.000,00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155.000,00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215.000,00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215.000,00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A100005 UREĐENJE JAVNIH ZELENIH POVRŠINA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</w:t>
            </w: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A100006 GRAĐENJE GRAĐEVINA, UREĐAJA I OPREME JAVNE NAMJENE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245.000,00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K100007 IZGRADNJA CESTE ŠIPOVA U MASLINICI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K100008 IZGRADNJA PRISTUPNE CESTE PREMA POS STANOVIMA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87.000,00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1004 UNAPRJEĐENJE VODOVODNIH, KANALIZACIJSKIH MREŽA I OBNOVA SEOSKIH VODA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IZGRADNJA NOVIH VODOVODNIH, KANALIZACIJSKIH DIONICA I OBNOVA SEOSKIH VODA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333,33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333,33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1005 PROMICANJE ZAŠTITE OKOLIŠA I PRIRODNE BAŠTINE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217.000,00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50,69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K100001 PROVEDBA PROJEKTA "EKO ŠOLTA ISPOD I POVIŠE"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217.000,00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50,69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62.000,00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177,42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Funkcijska klasifikacija  0540 Zaštita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bioraznolikosti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krajolika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62.000,00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177,42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165.000,00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Funkcijska klasifikacija  0540 Zaštita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bioraznolikosti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krajolika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1006 ODRŽIVO GOSPODARENJE OTPADOM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593.000,00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593.000,00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ODRŽAVANJE, SANACIJA I NABAVA GRAĐEVINA, UREĐAJA I OPREME VEZANO ZA GOSPODARENJE OTPADOM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320.500,00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320.500,00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213.500,00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213.500,00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147.500,00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147.500,00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107.000,00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107.000,00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107.000,00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83.000,00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83.000,00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73.000,00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73.000,00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SANACIJA DIVLJIH ODLAGALIŠTA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K100003 SANACIJA ODLAGALIŠTA BOROVIK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212.500,00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212.500,00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44.500,00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44.500,00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83.000,00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83.000,00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83.000,00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83.000,00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74.000,00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74.000,00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55.500,00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55.500,00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18.500,00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18.500,00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1007 KVALITETNO I FUNKCIONALNO PROSTORNO PLANIRANJE I USKLAĐIVANJE ZEMLJIŠNIH I KATASTARSKIH KNJIGA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-64,52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IZRADA DOKUMENATA PROSTORNOG PLANIRANJA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proizvedene dugotrajne </w:t>
            </w: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Izvor  4.0. Prihodi za posebne namjene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UREĐIVANJE I USKLAĐIVANJE ZEMLJIŠNOG I KATASTARSKOG STANJA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-90,91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-85,71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-60.000,00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-85,71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-40.000,00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-40.000,00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1008 ODRŽAVANJE, REVITALIZACIJA I  GRAĐENJE GRAĐEVINSKIH OBJEKATA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970.000,00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-1,03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960.000,00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ODRŽAVANJE I SANACIJA POSTOJEĆIH GRAĐEVINSKIH OBJEKATA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K100002 REKONSTRUKCIJA KUĆE DUJMA BALISTRILIĆA (MARKA MARULIĆA)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-85,71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-80,00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-40.000,00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-80,00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-40.000,00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-80,00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100,00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K100003 IZGRADNJA CENTRA ZA STARIJE I NEMOĆNE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-42,86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1020 Starost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-40,00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-40,00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-40,00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8.1. Primici od financijske imovine i zaduživanja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1020 Starost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-50,00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-50,00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K100004 REKONSTRUKCIJA KULTURNOG CENTRA GORNJE SELO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-77,78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-30.000,00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-60,00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-30.000,00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-60,00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 7.0. Prihodi od prodaje ili zamjene nefinancijske imovine i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nakna</w:t>
            </w:r>
            <w:proofErr w:type="spellEnd"/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K100005 REKONSTRUKCIJA I DOGRADNJA DJEČJEG VRTIĆA GROHOTE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K100006 UREĐENJE DOMA KULTURE U GROHOTAMA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130.000,00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130.000,00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 7.0. Prihodi od prodaje ili zamjene nefinancijske imovine i 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nakna</w:t>
            </w:r>
            <w:proofErr w:type="spellEnd"/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1009 POTPORA POLJOPRIVREDI I GOSPODARSTVU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POTPORA POLJOPRIVREDI I GOSPODARSTVU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0421 Poljoprivreda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-50,00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11,</w:t>
            </w:r>
            <w:proofErr w:type="spellStart"/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0421 Poljoprivreda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1010 OSIGURANJE JAVNOG AUTOBUSNOG PRIJEVOZA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145.000,00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72,41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OSIGURANJE JAVNOG AUTOBUSNOG PRIJEVOZA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145.000,00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72,41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145.000,00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72,41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145.000,00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72,41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72,41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145.000,00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72,41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1011 SOCIJALNA SKRB - ZAŠTITA SOCIJALNO RANJIVIH SKUPINA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106.000,00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16,98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124.000,00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SOCIJALNA SKRB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77.000,00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20,78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93.000,00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77.000,00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20,78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93.000,00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77.000,00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20,78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93.000,00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20,78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93.000,00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16.000,00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21,05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92.000,00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5.0. Pomoći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PROVEDBA PROGRAMA "POMOĆ U KUĆI STARIM I NEMOĆNIM"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6,90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6,90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6,90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6,90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7,69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1012 PODIZANJE KVALITETE TURISTIČKE PONUDE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95,74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TURISTIČKE ZAJEDNICE OPĆINE ŠOLTE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95,74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95,74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95,74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95,74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92.000,00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47.000,00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95,74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92.000,00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1013 POTICANJE RADA ORGANIZACIJA CIVILNOG DRUŠTVA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134.600,00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134.600,00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FINANCIRANJE JAVNIH POTREBA U KULTURI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63.500,00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63.500,00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63.500,00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FINANCIRANJE JAVNIH POTREBA U SPORTU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0810 Službe rekreacije i sporta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26.000,00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A100003 FINANCIRANJE JAVNIH POTREBA ORGANIZACIJA CIVILNOG DRUŠTVA IZ DRUGIH PODRUČJA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Funkcijska klasifikacija  0860 Rashodi za rekreaciju, kulturu i religiju koji nisu drugdje svrstani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43.700,00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43.700,00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43.700,00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43.700,00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A100004 FINANCIRANJE POLITIČKIH ORGANIZACIJA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1.400,00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1.400,00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1014 OSIGURANJE STANDARDA PREŠKOLSKOG I OSNOVNOŠKOLSKOG ODGOJA I OBRAZOVANJA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135.500,00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135.500,00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PREDŠKOLSKI ODGOJ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123.500,00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123.500,00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123.500,00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122.000,00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122.000,00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OSNOVNOŠKOLSKI ODGOJ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1015 ORGANIZIRANJE I PROVOĐENJE SUSTAVA CIVILNE I PROTUPOŽARNE ZAŠTITE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222.000,00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PROTUPOŽARNA ZAŠTITA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0320 Usluge protupožarne zaštite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201.000,00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201.000,00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195.000,00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195.000,00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CIVILNA ZAŠTITA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2,86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10.800,00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5.200,00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Ostali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-500,00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-9,09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1016 ZAJMOVI I JAMSTVA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ZAJMOVI I JAMSTVA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8.1. Primici od financijske imovine i zaduživanja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Izdaci za otplatu glavnice primljenih kredita i zajmova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Razdjel 002 KULTURNO INFORMATIVNI CENTAR OTOKA ŠOLTE</w:t>
            </w:r>
          </w:p>
        </w:tc>
        <w:tc>
          <w:tcPr>
            <w:tcW w:w="1371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90.000,00</w:t>
            </w:r>
          </w:p>
        </w:tc>
        <w:tc>
          <w:tcPr>
            <w:tcW w:w="1463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15.000,00</w:t>
            </w:r>
          </w:p>
        </w:tc>
        <w:tc>
          <w:tcPr>
            <w:tcW w:w="886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16,67</w:t>
            </w:r>
          </w:p>
        </w:tc>
        <w:tc>
          <w:tcPr>
            <w:tcW w:w="1371" w:type="dxa"/>
            <w:shd w:val="clear" w:color="000000" w:fill="00008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1017 FINANCIRANJE PROGRAMA RADA KULTURNO INFORMATIVNOG CENTRA OTOKA ŠOLTE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63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886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16,67</w:t>
            </w:r>
          </w:p>
        </w:tc>
        <w:tc>
          <w:tcPr>
            <w:tcW w:w="1371" w:type="dxa"/>
            <w:shd w:val="clear" w:color="000000" w:fill="9999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FINANCIRANJE PROGRAMA RADA KULTURNO INFORMATIVNOG CENTRA OTOKA ŠOLTE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63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886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16,67</w:t>
            </w:r>
          </w:p>
        </w:tc>
        <w:tc>
          <w:tcPr>
            <w:tcW w:w="1371" w:type="dxa"/>
            <w:shd w:val="clear" w:color="000000" w:fill="CCCC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1.0. Opći prihodi i primici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63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886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16,67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5673" w:type="dxa"/>
            <w:gridSpan w:val="2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463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886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16,67</w:t>
            </w:r>
          </w:p>
        </w:tc>
        <w:tc>
          <w:tcPr>
            <w:tcW w:w="1371" w:type="dxa"/>
            <w:shd w:val="clear" w:color="000000" w:fill="CCFFFF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88.000,00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17,05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103.000,00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46.500,00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32,26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61.500,00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285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2.000,00</w:t>
            </w:r>
          </w:p>
        </w:tc>
      </w:tr>
      <w:tr w:rsidR="008E7895" w:rsidRPr="008E7895" w:rsidTr="00A47B70">
        <w:trPr>
          <w:trHeight w:val="300"/>
          <w:jc w:val="center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E7895" w:rsidRPr="008E7895" w:rsidRDefault="008E7895" w:rsidP="008E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</w:tbl>
    <w:p w:rsidR="007913A4" w:rsidRDefault="007913A4" w:rsidP="00ED0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913A4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Članak 3.</w:t>
      </w:r>
    </w:p>
    <w:p w:rsidR="007913A4" w:rsidRPr="00690217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lang w:val="pl-PL"/>
        </w:rPr>
      </w:pPr>
    </w:p>
    <w:p w:rsidR="007913A4" w:rsidRPr="00690217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pl-PL"/>
        </w:rPr>
      </w:pPr>
      <w:r w:rsidRPr="00690217">
        <w:rPr>
          <w:rFonts w:ascii="Times New Roman" w:eastAsia="Times New Roman" w:hAnsi="Times New Roman" w:cs="Times New Roman"/>
          <w:b/>
          <w:sz w:val="32"/>
          <w:lang w:val="pl-PL"/>
        </w:rPr>
        <w:t xml:space="preserve">OBRAZLOŽENJE </w:t>
      </w:r>
      <w:r w:rsidR="00DF43A4">
        <w:rPr>
          <w:rFonts w:ascii="Times New Roman" w:eastAsia="Times New Roman" w:hAnsi="Times New Roman" w:cs="Times New Roman"/>
          <w:b/>
          <w:sz w:val="32"/>
          <w:lang w:val="pl-PL"/>
        </w:rPr>
        <w:t>IZMJENA I DOPUNA</w:t>
      </w:r>
      <w:r w:rsidR="00A47B70">
        <w:rPr>
          <w:rFonts w:ascii="Times New Roman" w:eastAsia="Times New Roman" w:hAnsi="Times New Roman" w:cs="Times New Roman"/>
          <w:b/>
          <w:sz w:val="32"/>
          <w:lang w:val="pl-PL"/>
        </w:rPr>
        <w:t xml:space="preserve"> PLANA PRORAČUNA ZA 2023</w:t>
      </w:r>
      <w:r w:rsidR="00C360D6">
        <w:rPr>
          <w:rFonts w:ascii="Times New Roman" w:eastAsia="Times New Roman" w:hAnsi="Times New Roman" w:cs="Times New Roman"/>
          <w:b/>
          <w:sz w:val="32"/>
          <w:lang w:val="pl-PL"/>
        </w:rPr>
        <w:t>.</w:t>
      </w:r>
    </w:p>
    <w:p w:rsidR="007913A4" w:rsidRDefault="007913A4" w:rsidP="007913A4">
      <w:pPr>
        <w:spacing w:after="0"/>
        <w:jc w:val="center"/>
        <w:rPr>
          <w:rFonts w:ascii="Times New Roman" w:eastAsia="Times New Roman" w:hAnsi="Times New Roman" w:cs="Times New Roman"/>
          <w:b/>
          <w:lang w:val="pl-PL"/>
        </w:rPr>
      </w:pPr>
    </w:p>
    <w:tbl>
      <w:tblPr>
        <w:tblW w:w="92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47B70" w:rsidRPr="008E7895" w:rsidTr="00A47B70">
        <w:trPr>
          <w:trHeight w:val="285"/>
          <w:jc w:val="center"/>
        </w:trPr>
        <w:tc>
          <w:tcPr>
            <w:tcW w:w="9211" w:type="dxa"/>
            <w:shd w:val="clear" w:color="000000" w:fill="9999FF"/>
            <w:noWrap/>
            <w:vAlign w:val="bottom"/>
            <w:hideMark/>
          </w:tcPr>
          <w:p w:rsidR="00A47B70" w:rsidRPr="008E7895" w:rsidRDefault="00A47B70" w:rsidP="00C1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1001 UČINKOVITA OPĆINSKA UPRAVA I ADMINISTRACIJA</w:t>
            </w:r>
          </w:p>
        </w:tc>
      </w:tr>
      <w:tr w:rsidR="00A47B70" w:rsidRPr="008E7895" w:rsidTr="00A47B70">
        <w:trPr>
          <w:trHeight w:val="285"/>
          <w:jc w:val="center"/>
        </w:trPr>
        <w:tc>
          <w:tcPr>
            <w:tcW w:w="9211" w:type="dxa"/>
            <w:shd w:val="clear" w:color="000000" w:fill="CCCCFF"/>
            <w:noWrap/>
            <w:vAlign w:val="bottom"/>
            <w:hideMark/>
          </w:tcPr>
          <w:p w:rsidR="00A47B70" w:rsidRPr="008E7895" w:rsidRDefault="00A47B70" w:rsidP="00C1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OPĆINSKE UPRAVE I ADMINISTRACIJE</w:t>
            </w:r>
          </w:p>
        </w:tc>
      </w:tr>
    </w:tbl>
    <w:p w:rsidR="00A47B70" w:rsidRPr="00A47B70" w:rsidRDefault="00A47B70" w:rsidP="00A47B70">
      <w:pPr>
        <w:spacing w:after="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Potrebno povećanje za 200,00 EURA. Razlog je sufinaniranje projekta Širokopojasni internet koji provodimo u suradnji s Općinom Postira. Potrebna je i preraspodjela rashoda između </w:t>
      </w:r>
    </w:p>
    <w:tbl>
      <w:tblPr>
        <w:tblW w:w="61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673"/>
        <w:gridCol w:w="1463"/>
      </w:tblGrid>
      <w:tr w:rsidR="00A47B70" w:rsidRPr="008E7895" w:rsidTr="00A47B70">
        <w:trPr>
          <w:trHeight w:val="300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A47B70" w:rsidRPr="008E7895" w:rsidRDefault="00A47B70" w:rsidP="00C12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A47B70" w:rsidRPr="008E7895" w:rsidRDefault="00A47B70" w:rsidP="00C12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463" w:type="dxa"/>
            <w:vAlign w:val="bottom"/>
          </w:tcPr>
          <w:p w:rsidR="00A47B70" w:rsidRPr="008E7895" w:rsidRDefault="00A47B70" w:rsidP="00C1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</w:tr>
      <w:tr w:rsidR="00A47B70" w:rsidRPr="008E7895" w:rsidTr="00A47B70">
        <w:trPr>
          <w:trHeight w:val="300"/>
          <w:jc w:val="center"/>
        </w:trPr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A47B70" w:rsidRPr="008E7895" w:rsidRDefault="00A47B70" w:rsidP="00C12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A47B70" w:rsidRPr="008E7895" w:rsidRDefault="00A47B70" w:rsidP="00C12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463" w:type="dxa"/>
            <w:vAlign w:val="bottom"/>
          </w:tcPr>
          <w:p w:rsidR="00A47B70" w:rsidRPr="008E7895" w:rsidRDefault="00A47B70" w:rsidP="00C1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</w:tbl>
    <w:p w:rsidR="00A47B70" w:rsidRDefault="00A47B70" w:rsidP="00A47B70">
      <w:pPr>
        <w:spacing w:after="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zbog promjene statusa radnog odnosa načelnika koji više nije u radnom odnosu nego prima naknadu za rad.</w:t>
      </w:r>
      <w:r w:rsidR="002331E7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A47B70" w:rsidRDefault="00A47B70" w:rsidP="00A47B70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F147D2" w:rsidRPr="00F147D2" w:rsidTr="000318C9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147D2" w:rsidRPr="00F147D2" w:rsidRDefault="00F147D2" w:rsidP="00E3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1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</w:t>
            </w:r>
            <w:r w:rsidR="00E36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 ODRŽAVANJE</w:t>
            </w:r>
            <w:r w:rsidRPr="00F1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KOMUNALNE INFRASTRUKTURE</w:t>
            </w:r>
          </w:p>
        </w:tc>
      </w:tr>
    </w:tbl>
    <w:p w:rsidR="00F147D2" w:rsidRDefault="00C360D6" w:rsidP="00F14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 w:rsidR="00AC3185">
        <w:rPr>
          <w:rFonts w:ascii="Times New Roman" w:hAnsi="Times New Roman" w:cs="Times New Roman"/>
        </w:rPr>
        <w:t xml:space="preserve">ne i dopune programa  </w:t>
      </w:r>
      <w:r w:rsidR="00E36453">
        <w:rPr>
          <w:rFonts w:ascii="Times New Roman" w:hAnsi="Times New Roman" w:cs="Times New Roman"/>
        </w:rPr>
        <w:t xml:space="preserve">održavanja </w:t>
      </w:r>
      <w:r w:rsidR="00AC3185">
        <w:rPr>
          <w:rFonts w:ascii="Times New Roman" w:hAnsi="Times New Roman" w:cs="Times New Roman"/>
        </w:rPr>
        <w:t xml:space="preserve">komunalne infrastrukture </w:t>
      </w:r>
      <w:r w:rsidR="00A47B70">
        <w:rPr>
          <w:rFonts w:ascii="Times New Roman" w:hAnsi="Times New Roman" w:cs="Times New Roman"/>
        </w:rPr>
        <w:t>za 202</w:t>
      </w:r>
      <w:r w:rsidR="00E36453">
        <w:rPr>
          <w:rFonts w:ascii="Times New Roman" w:hAnsi="Times New Roman" w:cs="Times New Roman"/>
        </w:rPr>
        <w:t>3</w:t>
      </w:r>
      <w:r w:rsidRPr="00690217">
        <w:rPr>
          <w:rFonts w:ascii="Times New Roman" w:hAnsi="Times New Roman" w:cs="Times New Roman"/>
        </w:rPr>
        <w:t>. godinu.</w:t>
      </w:r>
      <w:r w:rsidR="00AC3185">
        <w:rPr>
          <w:rFonts w:ascii="Times New Roman" w:hAnsi="Times New Roman" w:cs="Times New Roman"/>
        </w:rPr>
        <w:t xml:space="preserve"> </w:t>
      </w:r>
      <w:r w:rsidR="00E36453">
        <w:rPr>
          <w:rFonts w:ascii="Times New Roman" w:hAnsi="Times New Roman" w:cs="Times New Roman"/>
        </w:rPr>
        <w:t xml:space="preserve">Većina izmjena je inicirala tvrtka Komunalno </w:t>
      </w:r>
      <w:proofErr w:type="spellStart"/>
      <w:r w:rsidR="00E36453">
        <w:rPr>
          <w:rFonts w:ascii="Times New Roman" w:hAnsi="Times New Roman" w:cs="Times New Roman"/>
        </w:rPr>
        <w:t>Basilija</w:t>
      </w:r>
      <w:proofErr w:type="spellEnd"/>
      <w:r w:rsidR="00E36453">
        <w:rPr>
          <w:rFonts w:ascii="Times New Roman" w:hAnsi="Times New Roman" w:cs="Times New Roman"/>
        </w:rPr>
        <w:t xml:space="preserve"> d.o.o.</w:t>
      </w:r>
    </w:p>
    <w:p w:rsidR="00E36453" w:rsidRDefault="00E36453" w:rsidP="00F147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36453" w:rsidRPr="008E7895" w:rsidTr="00E36453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E36453" w:rsidRPr="008E7895" w:rsidRDefault="00E36453" w:rsidP="00E3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1004 UNAPRJEĐENJE VODOVODNIH, KANALIZACIJSKIH MREŽA I OBNOVA SEOSKIH VODA</w:t>
            </w:r>
          </w:p>
        </w:tc>
      </w:tr>
    </w:tbl>
    <w:p w:rsidR="00842A73" w:rsidRDefault="00AC3185" w:rsidP="00F14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>Potrebno je povećanje stavke 3</w:t>
      </w:r>
      <w:r w:rsidR="00E36453">
        <w:rPr>
          <w:rFonts w:ascii="Times New Roman" w:eastAsia="Times New Roman" w:hAnsi="Times New Roman" w:cs="Times New Roman"/>
          <w:bCs/>
          <w:color w:val="000000"/>
          <w:lang w:eastAsia="hr-HR"/>
        </w:rPr>
        <w:t>5 subvencije zbog novih vodovodnih dionica koje se realiziraju preko tvrtke Vodovod i kanalizacija d.o.o.. Potrebno je povećanje stavke 42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zbog </w:t>
      </w:r>
      <w:r w:rsidR="00E3645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radova na bušenju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za</w:t>
      </w:r>
      <w:r w:rsidR="00E3645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potrebe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istraživanje podzemnih voda na otoku Šolti kojim bi se eventualno riješilo pitanje navodnjavanja poljoprivrednih</w:t>
      </w:r>
      <w:r w:rsidR="00E3645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zemljišta, te za potrebe obnova seoskih voda.</w:t>
      </w:r>
    </w:p>
    <w:p w:rsidR="00842A73" w:rsidRDefault="00842A73" w:rsidP="00F14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42A73" w:rsidRPr="00DF43A4" w:rsidTr="003405BC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842A73" w:rsidRPr="00DF43A4" w:rsidRDefault="00842A73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1005 PROMICANJE ZAŠTITE OKOLIŠA I PRIRODNE BAŠTINE</w:t>
            </w:r>
          </w:p>
        </w:tc>
      </w:tr>
      <w:tr w:rsidR="00842A73" w:rsidRPr="00DF43A4" w:rsidTr="003405BC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842A73" w:rsidRPr="00DF43A4" w:rsidRDefault="00842A73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K100001 PROVEDBA PROJEKTA "EKO ŠOLTA ISPOD I POVIŠE"</w:t>
            </w:r>
          </w:p>
        </w:tc>
      </w:tr>
    </w:tbl>
    <w:p w:rsidR="00842A73" w:rsidRDefault="00E36453" w:rsidP="00F14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Potr</w:t>
      </w:r>
      <w:r w:rsidR="00C12F6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ebno je povećanje na stavci 42 za 110.000,00 eura. Nakon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provedene javne nabave </w:t>
      </w:r>
      <w:r w:rsidR="00C12F6D">
        <w:rPr>
          <w:rFonts w:ascii="Times New Roman" w:eastAsia="Times New Roman" w:hAnsi="Times New Roman" w:cs="Times New Roman"/>
          <w:bCs/>
          <w:color w:val="000000"/>
          <w:lang w:eastAsia="hr-HR"/>
        </w:rPr>
        <w:t>za radove sklopljen je ugovor sa izvođačem radova u većem iznosu od planiranog</w:t>
      </w:r>
      <w:r w:rsidR="002331E7">
        <w:rPr>
          <w:rFonts w:ascii="Times New Roman" w:eastAsia="Times New Roman" w:hAnsi="Times New Roman" w:cs="Times New Roman"/>
          <w:bCs/>
          <w:color w:val="000000"/>
          <w:lang w:eastAsia="hr-HR"/>
        </w:rPr>
        <w:t>,</w:t>
      </w:r>
      <w:r w:rsidR="00C12F6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n</w:t>
      </w:r>
      <w:r w:rsidR="003405BC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 zbog provedbe projekta preko </w:t>
      </w:r>
      <w:r w:rsidR="00C12F6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fondova </w:t>
      </w:r>
      <w:r w:rsidR="003405BC">
        <w:rPr>
          <w:rFonts w:ascii="Times New Roman" w:eastAsia="Times New Roman" w:hAnsi="Times New Roman" w:cs="Times New Roman"/>
          <w:bCs/>
          <w:color w:val="000000"/>
          <w:lang w:eastAsia="hr-HR"/>
        </w:rPr>
        <w:t>EU potrebno je osigurati vlas</w:t>
      </w:r>
      <w:r w:rsidR="00C12F6D">
        <w:rPr>
          <w:rFonts w:ascii="Times New Roman" w:eastAsia="Times New Roman" w:hAnsi="Times New Roman" w:cs="Times New Roman"/>
          <w:bCs/>
          <w:color w:val="000000"/>
          <w:lang w:eastAsia="hr-HR"/>
        </w:rPr>
        <w:t>tita sredstva za realizaciju projekta.</w:t>
      </w:r>
      <w:r w:rsidR="003405BC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Javna nabava je dva puta provedena te je pristigla jedna ponuda u većem iznosu. </w:t>
      </w:r>
      <w:r w:rsidR="00C12F6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p w:rsidR="003405BC" w:rsidRPr="00690217" w:rsidRDefault="003405BC" w:rsidP="00F14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42A73" w:rsidRPr="00DF43A4" w:rsidTr="003405BC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842A73" w:rsidRPr="00DF43A4" w:rsidRDefault="00842A73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1007 KVALITETNO I FUNKCIONALNO PROSTORNO PLANIRANJE I USKLAĐIVANJE ZEMLJIŠNIH I KATASTARSKIH KNJIGA</w:t>
            </w:r>
          </w:p>
        </w:tc>
      </w:tr>
      <w:tr w:rsidR="00842A73" w:rsidRPr="00DF43A4" w:rsidTr="003405BC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842A73" w:rsidRPr="00DF43A4" w:rsidRDefault="00842A73" w:rsidP="0084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K100002 UREĐIVANJE I USKLAĐIVANJE ZEMLJIŠNOG I KATASTARSKOG STANJA</w:t>
            </w:r>
          </w:p>
        </w:tc>
      </w:tr>
    </w:tbl>
    <w:p w:rsidR="00842A73" w:rsidRDefault="00842A73" w:rsidP="00F147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Smanjenje je potrebno za kapitalni projekt sređivanja zemljišnih i katastarskih knjiga jer </w:t>
      </w:r>
      <w:r w:rsidR="003405BC">
        <w:rPr>
          <w:rFonts w:ascii="Times New Roman" w:hAnsi="Times New Roman" w:cs="Times New Roman"/>
        </w:rPr>
        <w:t>je planiran trošak u manjem iznosu zbog toga što će dio troškova preuzet</w:t>
      </w:r>
      <w:r w:rsidR="002331E7">
        <w:rPr>
          <w:rFonts w:ascii="Times New Roman" w:hAnsi="Times New Roman" w:cs="Times New Roman"/>
        </w:rPr>
        <w:t>i</w:t>
      </w:r>
      <w:r w:rsidR="003405BC">
        <w:rPr>
          <w:rFonts w:ascii="Times New Roman" w:hAnsi="Times New Roman" w:cs="Times New Roman"/>
        </w:rPr>
        <w:t xml:space="preserve"> Državna geodetska uprava</w:t>
      </w:r>
      <w:r w:rsidR="00F312DB">
        <w:rPr>
          <w:rFonts w:ascii="Times New Roman" w:hAnsi="Times New Roman" w:cs="Times New Roman"/>
        </w:rPr>
        <w:t xml:space="preserve">. </w:t>
      </w:r>
    </w:p>
    <w:p w:rsidR="00842A73" w:rsidRDefault="00842A73" w:rsidP="00F147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407"/>
        <w:gridCol w:w="9106"/>
        <w:gridCol w:w="412"/>
      </w:tblGrid>
      <w:tr w:rsidR="000318C9" w:rsidRPr="000318C9" w:rsidTr="003405BC">
        <w:trPr>
          <w:gridAfter w:val="1"/>
          <w:wAfter w:w="412" w:type="dxa"/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318C9" w:rsidRPr="000318C9" w:rsidRDefault="000318C9" w:rsidP="000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1008 ODRŽAVANJE, REVITALIZACIJA I  GRAĐENJE GRAĐEVINSKIH OBJEKATA</w:t>
            </w:r>
          </w:p>
        </w:tc>
      </w:tr>
      <w:tr w:rsidR="000318C9" w:rsidRPr="000318C9" w:rsidTr="003405BC">
        <w:trPr>
          <w:gridAfter w:val="1"/>
          <w:wAfter w:w="412" w:type="dxa"/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318C9" w:rsidRPr="000318C9" w:rsidRDefault="003405BC" w:rsidP="00F3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</w:t>
            </w:r>
            <w:r w:rsidR="00F3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</w:t>
            </w:r>
            <w:r w:rsidR="000318C9"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10000</w:t>
            </w:r>
            <w:r w:rsidR="00F3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0318C9"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F3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REKONSTRUKCIJA KUĆE DUJMA BALISTRILIĆA (MARKA MARULIĆA)</w:t>
            </w:r>
          </w:p>
        </w:tc>
      </w:tr>
      <w:tr w:rsidR="003405BC" w:rsidRPr="000318C9" w:rsidTr="003405BC">
        <w:trPr>
          <w:gridAfter w:val="1"/>
          <w:wAfter w:w="412" w:type="dxa"/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3405BC" w:rsidRPr="000318C9" w:rsidRDefault="003405BC" w:rsidP="00D7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Pr="0003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IZGRADNJA CENTRA ZA STARIJE I NEMOĆNE</w:t>
            </w:r>
          </w:p>
        </w:tc>
      </w:tr>
      <w:tr w:rsidR="003405BC" w:rsidRPr="008E7895" w:rsidTr="003405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7" w:type="dxa"/>
          <w:trHeight w:val="285"/>
          <w:jc w:val="center"/>
        </w:trPr>
        <w:tc>
          <w:tcPr>
            <w:tcW w:w="9518" w:type="dxa"/>
            <w:gridSpan w:val="2"/>
            <w:shd w:val="clear" w:color="000000" w:fill="CCCCFF"/>
            <w:noWrap/>
            <w:vAlign w:val="bottom"/>
            <w:hideMark/>
          </w:tcPr>
          <w:p w:rsidR="003405BC" w:rsidRPr="008E7895" w:rsidRDefault="003405BC" w:rsidP="0045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K100004 REKONSTRUKCIJA KULTURNOG CENTRA GORNJE SELO</w:t>
            </w:r>
          </w:p>
        </w:tc>
      </w:tr>
      <w:tr w:rsidR="003405BC" w:rsidRPr="008E7895" w:rsidTr="003405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7" w:type="dxa"/>
          <w:trHeight w:val="285"/>
          <w:jc w:val="center"/>
        </w:trPr>
        <w:tc>
          <w:tcPr>
            <w:tcW w:w="9518" w:type="dxa"/>
            <w:gridSpan w:val="2"/>
            <w:shd w:val="clear" w:color="000000" w:fill="CCCCFF"/>
            <w:noWrap/>
            <w:vAlign w:val="bottom"/>
            <w:hideMark/>
          </w:tcPr>
          <w:p w:rsidR="003405BC" w:rsidRPr="008E7895" w:rsidRDefault="003405BC" w:rsidP="0045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Kapitalni projekt K100006 UREĐENJE DOMA KULTURE U GROHOTAMA</w:t>
            </w:r>
          </w:p>
        </w:tc>
      </w:tr>
    </w:tbl>
    <w:p w:rsidR="00F312DB" w:rsidRDefault="003405BC" w:rsidP="007913A4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Nakon izrade </w:t>
      </w:r>
      <w:r w:rsidR="004E4BFB">
        <w:rPr>
          <w:rFonts w:ascii="Times New Roman" w:eastAsia="Times New Roman" w:hAnsi="Times New Roman" w:cs="Times New Roman"/>
          <w:lang w:val="pl-PL"/>
        </w:rPr>
        <w:t>troškovnika za kompletno uređenje</w:t>
      </w:r>
      <w:r>
        <w:rPr>
          <w:rFonts w:ascii="Times New Roman" w:eastAsia="Times New Roman" w:hAnsi="Times New Roman" w:cs="Times New Roman"/>
          <w:lang w:val="pl-PL"/>
        </w:rPr>
        <w:t xml:space="preserve"> Doma kulture u Grohotama planirano je ulaganje u iznosu od 150.000,00 eura. S obzirom da </w:t>
      </w:r>
      <w:r w:rsidR="004E4BFB">
        <w:rPr>
          <w:rFonts w:ascii="Times New Roman" w:eastAsia="Times New Roman" w:hAnsi="Times New Roman" w:cs="Times New Roman"/>
          <w:lang w:val="pl-PL"/>
        </w:rPr>
        <w:t xml:space="preserve">nije izvjesno da će se </w:t>
      </w:r>
      <w:r>
        <w:rPr>
          <w:rFonts w:ascii="Times New Roman" w:eastAsia="Times New Roman" w:hAnsi="Times New Roman" w:cs="Times New Roman"/>
          <w:lang w:val="pl-PL"/>
        </w:rPr>
        <w:t xml:space="preserve">ostali kapitalni projekti </w:t>
      </w:r>
      <w:r w:rsidR="004E4BFB">
        <w:rPr>
          <w:rFonts w:ascii="Times New Roman" w:eastAsia="Times New Roman" w:hAnsi="Times New Roman" w:cs="Times New Roman"/>
          <w:lang w:val="pl-PL"/>
        </w:rPr>
        <w:t>realizirati u ovoj godini potrebno je smanjenje stavki.</w:t>
      </w:r>
    </w:p>
    <w:p w:rsidR="004E4BFB" w:rsidRDefault="004E4BFB" w:rsidP="007913A4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312DB" w:rsidRPr="00DF43A4" w:rsidTr="004E4BFB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F312DB" w:rsidRPr="00DF43A4" w:rsidRDefault="00F312DB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1009 POTPORA POLJOPRIVREDI I GOSPODARSTVU</w:t>
            </w:r>
          </w:p>
        </w:tc>
      </w:tr>
      <w:tr w:rsidR="00F312DB" w:rsidRPr="00DF43A4" w:rsidTr="004E4BFB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F312DB" w:rsidRPr="00DF43A4" w:rsidRDefault="00F312DB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POTPORA POLJOPRIVREDI I GOSPODARSTVU</w:t>
            </w:r>
          </w:p>
        </w:tc>
      </w:tr>
    </w:tbl>
    <w:p w:rsidR="00F312DB" w:rsidRDefault="00F312DB" w:rsidP="007913A4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Na temelju rezultata Javnog poziva za poljoprivrednike </w:t>
      </w:r>
      <w:r w:rsidR="004E4BFB">
        <w:rPr>
          <w:rFonts w:ascii="Times New Roman" w:eastAsia="Times New Roman" w:hAnsi="Times New Roman" w:cs="Times New Roman"/>
          <w:lang w:val="pl-PL"/>
        </w:rPr>
        <w:t>i za zainteresirane za zamjenu azbestnih krovova napravljena je preraspodjela između vrsta troškova, te se ukupan iznos za potpore poljoprivrednicima i gospodarstvu ne mijenja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F312DB" w:rsidRPr="00690217" w:rsidRDefault="00F312DB" w:rsidP="007913A4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7749D" w:rsidRPr="0067749D" w:rsidTr="004E4BFB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67749D" w:rsidRPr="0067749D" w:rsidRDefault="0067749D" w:rsidP="0067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77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1010 OSIGURANJE JAVNOG AUTOBUSNOG PRIJEVOZA</w:t>
            </w:r>
          </w:p>
        </w:tc>
      </w:tr>
      <w:tr w:rsidR="0067749D" w:rsidRPr="0067749D" w:rsidTr="004E4BFB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7749D" w:rsidRPr="0067749D" w:rsidRDefault="0067749D" w:rsidP="0067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77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OSIGURANJE JAVNOG AUTOBUSNOG PRIJEVOZA</w:t>
            </w:r>
          </w:p>
        </w:tc>
      </w:tr>
    </w:tbl>
    <w:p w:rsidR="000318C9" w:rsidRPr="00690217" w:rsidRDefault="0067749D" w:rsidP="007913A4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 w:rsidRPr="00690217">
        <w:rPr>
          <w:rFonts w:ascii="Times New Roman" w:eastAsia="Times New Roman" w:hAnsi="Times New Roman" w:cs="Times New Roman"/>
          <w:lang w:val="pl-PL"/>
        </w:rPr>
        <w:t xml:space="preserve">Povećanje na kontu </w:t>
      </w:r>
      <w:r w:rsidR="00883CFC">
        <w:rPr>
          <w:rFonts w:ascii="Times New Roman" w:eastAsia="Times New Roman" w:hAnsi="Times New Roman" w:cs="Times New Roman"/>
          <w:lang w:val="pl-PL"/>
        </w:rPr>
        <w:t>35</w:t>
      </w:r>
      <w:r w:rsidRPr="00883CFC">
        <w:rPr>
          <w:rFonts w:ascii="Times New Roman" w:eastAsia="Times New Roman" w:hAnsi="Times New Roman" w:cs="Times New Roman"/>
          <w:lang w:val="pl-PL"/>
        </w:rPr>
        <w:t xml:space="preserve"> Subvencije trgovačkim društvima u javnom sektoru</w:t>
      </w:r>
      <w:r w:rsidRPr="00690217">
        <w:rPr>
          <w:rFonts w:ascii="Times New Roman" w:eastAsia="Times New Roman" w:hAnsi="Times New Roman" w:cs="Times New Roman"/>
          <w:lang w:val="pl-PL"/>
        </w:rPr>
        <w:t xml:space="preserve"> u iznosu od </w:t>
      </w:r>
      <w:r w:rsidR="004E4BFB">
        <w:rPr>
          <w:rFonts w:ascii="Times New Roman" w:eastAsia="Times New Roman" w:hAnsi="Times New Roman" w:cs="Times New Roman"/>
          <w:lang w:val="pl-PL"/>
        </w:rPr>
        <w:t>105.000,00 eura</w:t>
      </w:r>
      <w:r w:rsidRPr="00690217">
        <w:rPr>
          <w:rFonts w:ascii="Times New Roman" w:eastAsia="Times New Roman" w:hAnsi="Times New Roman" w:cs="Times New Roman"/>
          <w:lang w:val="pl-PL"/>
        </w:rPr>
        <w:t xml:space="preserve"> odnosi se na sufinanciranje javno</w:t>
      </w:r>
      <w:r w:rsidR="00F312DB">
        <w:rPr>
          <w:rFonts w:ascii="Times New Roman" w:eastAsia="Times New Roman" w:hAnsi="Times New Roman" w:cs="Times New Roman"/>
          <w:lang w:val="pl-PL"/>
        </w:rPr>
        <w:t>g</w:t>
      </w:r>
      <w:r w:rsidRPr="00690217">
        <w:rPr>
          <w:rFonts w:ascii="Times New Roman" w:eastAsia="Times New Roman" w:hAnsi="Times New Roman" w:cs="Times New Roman"/>
          <w:lang w:val="pl-PL"/>
        </w:rPr>
        <w:t xml:space="preserve"> autobusnog prijevoza po otoku Šolti. Povećanje je potrebn</w:t>
      </w:r>
      <w:r w:rsidR="004E4BFB">
        <w:rPr>
          <w:rFonts w:ascii="Times New Roman" w:eastAsia="Times New Roman" w:hAnsi="Times New Roman" w:cs="Times New Roman"/>
          <w:lang w:val="pl-PL"/>
        </w:rPr>
        <w:t>o jer se očekuje</w:t>
      </w:r>
      <w:r w:rsidR="00883CFC">
        <w:rPr>
          <w:rFonts w:ascii="Times New Roman" w:eastAsia="Times New Roman" w:hAnsi="Times New Roman" w:cs="Times New Roman"/>
          <w:lang w:val="pl-PL"/>
        </w:rPr>
        <w:t xml:space="preserve"> </w:t>
      </w:r>
      <w:r w:rsidRPr="00690217">
        <w:rPr>
          <w:rFonts w:ascii="Times New Roman" w:eastAsia="Times New Roman" w:hAnsi="Times New Roman" w:cs="Times New Roman"/>
          <w:lang w:val="pl-PL"/>
        </w:rPr>
        <w:t xml:space="preserve"> obračun troškova </w:t>
      </w:r>
      <w:r w:rsidR="004E4BFB">
        <w:rPr>
          <w:rFonts w:ascii="Times New Roman" w:eastAsia="Times New Roman" w:hAnsi="Times New Roman" w:cs="Times New Roman"/>
          <w:lang w:val="pl-PL"/>
        </w:rPr>
        <w:t>u puno većem iznosu.</w:t>
      </w:r>
    </w:p>
    <w:p w:rsidR="0067749D" w:rsidRDefault="0067749D" w:rsidP="007913A4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7749D" w:rsidRPr="0067749D" w:rsidTr="004E4BFB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67749D" w:rsidRPr="0067749D" w:rsidRDefault="0067749D" w:rsidP="0067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77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1011 SOCIJALNA SKRB - ZAŠTITA SOCIJALNO RANJIVIH SKUPINA</w:t>
            </w:r>
          </w:p>
        </w:tc>
      </w:tr>
      <w:tr w:rsidR="0067749D" w:rsidRPr="0067749D" w:rsidTr="004E4BFB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7749D" w:rsidRPr="0067749D" w:rsidRDefault="0067749D" w:rsidP="0067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77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SOCIJALNA SKRB</w:t>
            </w:r>
          </w:p>
        </w:tc>
      </w:tr>
    </w:tbl>
    <w:p w:rsidR="002C40E8" w:rsidRDefault="002C40E8" w:rsidP="002C40E8">
      <w:pPr>
        <w:spacing w:after="0"/>
        <w:jc w:val="both"/>
        <w:rPr>
          <w:rFonts w:ascii="Times New Roman" w:hAnsi="Times New Roman" w:cs="Times New Roman"/>
        </w:rPr>
      </w:pPr>
      <w:r w:rsidRPr="00690217">
        <w:rPr>
          <w:rFonts w:ascii="Times New Roman" w:eastAsia="Times New Roman" w:hAnsi="Times New Roman" w:cs="Times New Roman"/>
          <w:lang w:val="pl-PL"/>
        </w:rPr>
        <w:t>Povećanje, odnosno smanjenje pojedinih stavki kroz Program socijalne skrbi je povezana sa novom Odlukom o socijalnoj skrbi (</w:t>
      </w:r>
      <w:r w:rsidRPr="00690217">
        <w:rPr>
          <w:rFonts w:ascii="Times New Roman" w:hAnsi="Times New Roman" w:cs="Times New Roman"/>
        </w:rPr>
        <w:t>„Službeni glasnik Općine Šolta“ br. 07/22</w:t>
      </w:r>
      <w:r w:rsidR="00883CFC">
        <w:rPr>
          <w:rFonts w:ascii="Times New Roman" w:hAnsi="Times New Roman" w:cs="Times New Roman"/>
        </w:rPr>
        <w:t xml:space="preserve"> i 16/22</w:t>
      </w:r>
      <w:r w:rsidRPr="00690217">
        <w:rPr>
          <w:rFonts w:ascii="Times New Roman" w:hAnsi="Times New Roman" w:cs="Times New Roman"/>
        </w:rPr>
        <w:t xml:space="preserve">). Novom Odlukom promijenili su se uvjeti ostvarivanja prava iz pojedinih oblika pomoći, </w:t>
      </w:r>
      <w:r w:rsidR="004E4BFB">
        <w:rPr>
          <w:rFonts w:ascii="Times New Roman" w:hAnsi="Times New Roman" w:cs="Times New Roman"/>
        </w:rPr>
        <w:t xml:space="preserve">kao što je Poklon za Božić, </w:t>
      </w:r>
      <w:r w:rsidRPr="00690217">
        <w:rPr>
          <w:rFonts w:ascii="Times New Roman" w:hAnsi="Times New Roman" w:cs="Times New Roman"/>
        </w:rPr>
        <w:t>pa je bilo potrebno i stavke proračuna prilagodit novoj Odluci. 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izmjene i dopune programa  socijalne skrbi - zaštita so</w:t>
      </w:r>
      <w:r w:rsidR="004E4BFB">
        <w:rPr>
          <w:rFonts w:ascii="Times New Roman" w:hAnsi="Times New Roman" w:cs="Times New Roman"/>
        </w:rPr>
        <w:t>cijalno ranjivih skupina za 2023</w:t>
      </w:r>
      <w:r w:rsidRPr="00690217">
        <w:rPr>
          <w:rFonts w:ascii="Times New Roman" w:hAnsi="Times New Roman" w:cs="Times New Roman"/>
        </w:rPr>
        <w:t>. godinu.</w:t>
      </w:r>
    </w:p>
    <w:p w:rsidR="002331E7" w:rsidRPr="002C40E8" w:rsidRDefault="002331E7" w:rsidP="002C40E8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C40E8" w:rsidRPr="002C40E8" w:rsidTr="004E4BFB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2C40E8" w:rsidRPr="002C40E8" w:rsidRDefault="002C40E8" w:rsidP="002C4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C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Program 1012 PODIZANJE KVALITETE TURISTIČKE PONUDE</w:t>
            </w:r>
          </w:p>
        </w:tc>
      </w:tr>
      <w:tr w:rsidR="002C40E8" w:rsidRPr="002C40E8" w:rsidTr="004E4BFB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2C40E8" w:rsidRPr="002C40E8" w:rsidRDefault="002C40E8" w:rsidP="002C4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C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TURISTIČKE ZAJEDNICE OPĆINE ŠOLTE</w:t>
            </w:r>
          </w:p>
        </w:tc>
      </w:tr>
    </w:tbl>
    <w:p w:rsidR="004E4BFB" w:rsidRDefault="004E4BFB" w:rsidP="007913A4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Povećanje</w:t>
      </w:r>
      <w:r w:rsidR="00883CFC">
        <w:rPr>
          <w:rFonts w:ascii="Times New Roman" w:eastAsia="Times New Roman" w:hAnsi="Times New Roman" w:cs="Times New Roman"/>
          <w:lang w:val="pl-PL"/>
        </w:rPr>
        <w:t xml:space="preserve"> </w:t>
      </w:r>
      <w:r w:rsidR="002C40E8" w:rsidRPr="00690217">
        <w:rPr>
          <w:rFonts w:ascii="Times New Roman" w:eastAsia="Times New Roman" w:hAnsi="Times New Roman" w:cs="Times New Roman"/>
          <w:lang w:val="pl-PL"/>
        </w:rPr>
        <w:t>stavk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 w:rsidR="002C40E8" w:rsidRPr="00690217">
        <w:rPr>
          <w:rFonts w:ascii="Times New Roman" w:eastAsia="Times New Roman" w:hAnsi="Times New Roman" w:cs="Times New Roman"/>
          <w:lang w:val="pl-PL"/>
        </w:rPr>
        <w:t xml:space="preserve"> </w:t>
      </w:r>
      <w:r w:rsidR="00883CFC">
        <w:rPr>
          <w:rFonts w:ascii="Times New Roman" w:eastAsia="Times New Roman" w:hAnsi="Times New Roman" w:cs="Times New Roman"/>
          <w:b/>
          <w:lang w:val="pl-PL"/>
        </w:rPr>
        <w:t>38</w:t>
      </w:r>
      <w:r w:rsidR="002C40E8" w:rsidRPr="00690217">
        <w:rPr>
          <w:rFonts w:ascii="Times New Roman" w:eastAsia="Times New Roman" w:hAnsi="Times New Roman" w:cs="Times New Roman"/>
          <w:b/>
          <w:lang w:val="pl-PL"/>
        </w:rPr>
        <w:t xml:space="preserve"> Tekuće donacije</w:t>
      </w:r>
      <w:r w:rsidR="002C40E8" w:rsidRPr="00690217">
        <w:rPr>
          <w:rFonts w:ascii="Times New Roman" w:eastAsia="Times New Roman" w:hAnsi="Times New Roman" w:cs="Times New Roman"/>
          <w:lang w:val="pl-PL"/>
        </w:rPr>
        <w:t xml:space="preserve"> u iznosu od </w:t>
      </w:r>
      <w:r>
        <w:rPr>
          <w:rFonts w:ascii="Times New Roman" w:eastAsia="Times New Roman" w:hAnsi="Times New Roman" w:cs="Times New Roman"/>
          <w:lang w:val="pl-PL"/>
        </w:rPr>
        <w:t>45.000,00 eura a</w:t>
      </w:r>
      <w:r w:rsidR="002C40E8" w:rsidRPr="00690217">
        <w:rPr>
          <w:rFonts w:ascii="Times New Roman" w:eastAsia="Times New Roman" w:hAnsi="Times New Roman" w:cs="Times New Roman"/>
          <w:lang w:val="pl-PL"/>
        </w:rPr>
        <w:t xml:space="preserve"> odnosi se </w:t>
      </w:r>
      <w:r>
        <w:rPr>
          <w:rFonts w:ascii="Times New Roman" w:eastAsia="Times New Roman" w:hAnsi="Times New Roman" w:cs="Times New Roman"/>
          <w:lang w:val="pl-PL"/>
        </w:rPr>
        <w:t>n</w:t>
      </w:r>
      <w:r w:rsidR="002C40E8" w:rsidRPr="00690217">
        <w:rPr>
          <w:rFonts w:ascii="Times New Roman" w:eastAsia="Times New Roman" w:hAnsi="Times New Roman" w:cs="Times New Roman"/>
          <w:lang w:val="pl-PL"/>
        </w:rPr>
        <w:t>a potrebe financiranja</w:t>
      </w:r>
      <w:r w:rsidR="00690217" w:rsidRPr="00690217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dodatnih </w:t>
      </w:r>
      <w:r w:rsidR="00690217" w:rsidRPr="00690217">
        <w:rPr>
          <w:rFonts w:ascii="Times New Roman" w:eastAsia="Times New Roman" w:hAnsi="Times New Roman" w:cs="Times New Roman"/>
          <w:lang w:val="pl-PL"/>
        </w:rPr>
        <w:t>manifestacija kulturnog ljeta 202</w:t>
      </w:r>
      <w:r>
        <w:rPr>
          <w:rFonts w:ascii="Times New Roman" w:eastAsia="Times New Roman" w:hAnsi="Times New Roman" w:cs="Times New Roman"/>
          <w:lang w:val="pl-PL"/>
        </w:rPr>
        <w:t>3., kao što su:</w:t>
      </w:r>
    </w:p>
    <w:p w:rsidR="004E4BFB" w:rsidRDefault="004E4BFB" w:rsidP="004E4B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Klape u Donjem Selu</w:t>
      </w:r>
    </w:p>
    <w:p w:rsidR="004E4BFB" w:rsidRDefault="004E4BFB" w:rsidP="004E4B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Nastup psihomodo-popa</w:t>
      </w:r>
    </w:p>
    <w:p w:rsidR="004E4BFB" w:rsidRDefault="004E4BFB" w:rsidP="004E4B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Street food festival </w:t>
      </w:r>
    </w:p>
    <w:p w:rsidR="004E4BFB" w:rsidRDefault="004E4BFB" w:rsidP="004E4B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Održavanje biciklističkih staza </w:t>
      </w:r>
    </w:p>
    <w:p w:rsidR="004E4BFB" w:rsidRDefault="004E4BFB" w:rsidP="004E4B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Dječji adrenalinski dan</w:t>
      </w:r>
    </w:p>
    <w:p w:rsidR="004E4BFB" w:rsidRPr="004E4BFB" w:rsidRDefault="004E4BFB" w:rsidP="004E4BFB">
      <w:pPr>
        <w:pStyle w:val="Odlomakpopisa"/>
        <w:spacing w:after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E4BFB" w:rsidRPr="008E7895" w:rsidTr="004E4BFB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4E4BFB" w:rsidRPr="008E7895" w:rsidRDefault="004E4BFB" w:rsidP="0045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1015 ORGANIZIRANJE I PROVOĐENJE SUSTAVA CIVILNE I PROTUPOŽARNE ZAŠTITE</w:t>
            </w:r>
          </w:p>
        </w:tc>
      </w:tr>
      <w:tr w:rsidR="004E4BFB" w:rsidRPr="008E7895" w:rsidTr="004E4BFB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4E4BFB" w:rsidRPr="008E7895" w:rsidRDefault="004E4BFB" w:rsidP="0045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PROTUPOŽARNA ZAŠTITA</w:t>
            </w:r>
          </w:p>
        </w:tc>
      </w:tr>
      <w:tr w:rsidR="004E4BFB" w:rsidRPr="008E7895" w:rsidTr="004E4BFB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4E4BFB" w:rsidRPr="008E7895" w:rsidRDefault="004E4BFB" w:rsidP="0045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7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A100002 CIVILNA ZAŠTITA</w:t>
            </w:r>
          </w:p>
        </w:tc>
      </w:tr>
    </w:tbl>
    <w:p w:rsidR="00710AF4" w:rsidRPr="00710AF4" w:rsidRDefault="004E4BFB" w:rsidP="00710A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0217">
        <w:rPr>
          <w:rFonts w:ascii="Times New Roman" w:hAnsi="Times New Roman" w:cs="Times New Roman"/>
        </w:rPr>
        <w:t>Izmjene i dopune ovog</w:t>
      </w:r>
      <w:r w:rsidRPr="002C40E8">
        <w:rPr>
          <w:rFonts w:ascii="Times New Roman" w:hAnsi="Times New Roman" w:cs="Times New Roman"/>
        </w:rPr>
        <w:t xml:space="preserve"> program</w:t>
      </w:r>
      <w:r w:rsidRPr="00690217">
        <w:rPr>
          <w:rFonts w:ascii="Times New Roman" w:hAnsi="Times New Roman" w:cs="Times New Roman"/>
        </w:rPr>
        <w:t>a</w:t>
      </w:r>
      <w:r w:rsidRPr="002C40E8">
        <w:rPr>
          <w:rFonts w:ascii="Times New Roman" w:hAnsi="Times New Roman" w:cs="Times New Roman"/>
        </w:rPr>
        <w:t xml:space="preserve"> je detaljno objašnjen kroz </w:t>
      </w:r>
      <w:r w:rsidRPr="00690217">
        <w:rPr>
          <w:rFonts w:ascii="Times New Roman" w:hAnsi="Times New Roman" w:cs="Times New Roman"/>
        </w:rPr>
        <w:t>izmje</w:t>
      </w:r>
      <w:r>
        <w:rPr>
          <w:rFonts w:ascii="Times New Roman" w:hAnsi="Times New Roman" w:cs="Times New Roman"/>
        </w:rPr>
        <w:t xml:space="preserve">ne i dopune programa  </w:t>
      </w:r>
      <w:r w:rsidR="00710AF4" w:rsidRPr="00710AF4">
        <w:rPr>
          <w:rFonts w:ascii="Times New Roman" w:eastAsia="Times New Roman" w:hAnsi="Times New Roman" w:cs="Times New Roman"/>
          <w:szCs w:val="24"/>
        </w:rPr>
        <w:t>organiziranja i provođenja susta</w:t>
      </w:r>
      <w:r w:rsidR="00710AF4">
        <w:rPr>
          <w:rFonts w:ascii="Times New Roman" w:eastAsia="Times New Roman" w:hAnsi="Times New Roman" w:cs="Times New Roman"/>
          <w:szCs w:val="24"/>
        </w:rPr>
        <w:t>va civilne zaštite na području Općine Š</w:t>
      </w:r>
      <w:r w:rsidR="00710AF4" w:rsidRPr="00710AF4">
        <w:rPr>
          <w:rFonts w:ascii="Times New Roman" w:eastAsia="Times New Roman" w:hAnsi="Times New Roman" w:cs="Times New Roman"/>
          <w:szCs w:val="24"/>
        </w:rPr>
        <w:t>olta za 2023. god</w:t>
      </w:r>
      <w:r w:rsidR="00710AF4" w:rsidRPr="00710AF4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710AF4" w:rsidRPr="00710AF4">
        <w:rPr>
          <w:rFonts w:ascii="Times New Roman" w:eastAsia="Times New Roman" w:hAnsi="Times New Roman" w:cs="Times New Roman"/>
          <w:lang w:val="pl-PL"/>
        </w:rPr>
        <w:t xml:space="preserve"> </w:t>
      </w:r>
      <w:r w:rsidR="00710AF4">
        <w:rPr>
          <w:rFonts w:ascii="Times New Roman" w:eastAsia="Times New Roman" w:hAnsi="Times New Roman" w:cs="Times New Roman"/>
          <w:lang w:val="pl-PL"/>
        </w:rPr>
        <w:t>S obzirom da napravljena preraspodjela između vrsta troškova, ukupan iznos za ovaj program se ne mijenja.</w:t>
      </w:r>
    </w:p>
    <w:p w:rsidR="00883CFC" w:rsidRDefault="00883CFC" w:rsidP="007913A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83CFC" w:rsidRPr="00DF43A4" w:rsidTr="00710AF4">
        <w:trPr>
          <w:trHeight w:val="285"/>
        </w:trPr>
        <w:tc>
          <w:tcPr>
            <w:tcW w:w="9606" w:type="dxa"/>
            <w:shd w:val="clear" w:color="000000" w:fill="000080"/>
            <w:noWrap/>
            <w:vAlign w:val="bottom"/>
            <w:hideMark/>
          </w:tcPr>
          <w:p w:rsidR="00883CFC" w:rsidRPr="00DF43A4" w:rsidRDefault="00883CFC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002 KULTURNO INFORMATIVNI CENTAR OTOKA ŠOLTE</w:t>
            </w:r>
          </w:p>
        </w:tc>
      </w:tr>
      <w:tr w:rsidR="00883CFC" w:rsidRPr="00DF43A4" w:rsidTr="00710AF4">
        <w:trPr>
          <w:trHeight w:val="285"/>
        </w:trPr>
        <w:tc>
          <w:tcPr>
            <w:tcW w:w="9606" w:type="dxa"/>
            <w:shd w:val="clear" w:color="000000" w:fill="9999FF"/>
            <w:noWrap/>
            <w:vAlign w:val="bottom"/>
            <w:hideMark/>
          </w:tcPr>
          <w:p w:rsidR="00883CFC" w:rsidRPr="00DF43A4" w:rsidRDefault="00883CFC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1017 FINANCIRANJE PROGRAMA RADA KULTURNO INFORMATIVNOG CENTRA OTOKA ŠOLTE</w:t>
            </w:r>
          </w:p>
        </w:tc>
      </w:tr>
      <w:tr w:rsidR="00883CFC" w:rsidRPr="00DF43A4" w:rsidTr="00710AF4">
        <w:trPr>
          <w:trHeight w:val="285"/>
        </w:trPr>
        <w:tc>
          <w:tcPr>
            <w:tcW w:w="9606" w:type="dxa"/>
            <w:shd w:val="clear" w:color="000000" w:fill="CCCCFF"/>
            <w:noWrap/>
            <w:vAlign w:val="bottom"/>
            <w:hideMark/>
          </w:tcPr>
          <w:p w:rsidR="00883CFC" w:rsidRPr="00DF43A4" w:rsidRDefault="00883CFC" w:rsidP="008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FINANCIRANJE PROGRAMA RADA KULTURNO INFORMATIVNOG CENTRA OTOKA ŠOLTE</w:t>
            </w:r>
          </w:p>
        </w:tc>
      </w:tr>
    </w:tbl>
    <w:p w:rsidR="00710AF4" w:rsidRPr="00710AF4" w:rsidRDefault="00710AF4" w:rsidP="00710AF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0AF4">
        <w:rPr>
          <w:rFonts w:ascii="Times New Roman" w:hAnsi="Times New Roman" w:cs="Times New Roman"/>
        </w:rPr>
        <w:t xml:space="preserve">Uslijed povećanja troškova došlo </w:t>
      </w:r>
      <w:r>
        <w:rPr>
          <w:rFonts w:ascii="Times New Roman" w:hAnsi="Times New Roman" w:cs="Times New Roman"/>
        </w:rPr>
        <w:t xml:space="preserve">je </w:t>
      </w:r>
      <w:r w:rsidRPr="00710AF4">
        <w:rPr>
          <w:rFonts w:ascii="Times New Roman" w:hAnsi="Times New Roman" w:cs="Times New Roman"/>
        </w:rPr>
        <w:t>do izmjene p</w:t>
      </w:r>
      <w:r>
        <w:rPr>
          <w:rFonts w:ascii="Times New Roman" w:hAnsi="Times New Roman" w:cs="Times New Roman"/>
        </w:rPr>
        <w:t>lana i programa KICOŠ-a, preuzeti su troškovi</w:t>
      </w:r>
      <w:r w:rsidRPr="00710AF4">
        <w:rPr>
          <w:rFonts w:ascii="Times New Roman" w:hAnsi="Times New Roman" w:cs="Times New Roman"/>
        </w:rPr>
        <w:t xml:space="preserve"> manifestacija u zajedničkom dogovoru, koje je ugovorila TZO Šolta i troškovi tiskanja knjiga su porasli te nadišli prvotno planirane.</w:t>
      </w:r>
    </w:p>
    <w:p w:rsidR="00710AF4" w:rsidRPr="00710AF4" w:rsidRDefault="00710AF4" w:rsidP="00710AF4">
      <w:pPr>
        <w:spacing w:after="0"/>
        <w:ind w:left="851"/>
        <w:rPr>
          <w:rFonts w:ascii="Times New Roman" w:hAnsi="Times New Roman" w:cs="Times New Roman"/>
        </w:rPr>
      </w:pPr>
      <w:r w:rsidRPr="00710AF4">
        <w:rPr>
          <w:rFonts w:ascii="Times New Roman" w:hAnsi="Times New Roman" w:cs="Times New Roman"/>
        </w:rPr>
        <w:t xml:space="preserve">a) Autorski ugovori – urednički i lektorski za Floru i faunu otoka Šolte </w:t>
      </w:r>
    </w:p>
    <w:p w:rsidR="00710AF4" w:rsidRPr="00710AF4" w:rsidRDefault="00710AF4" w:rsidP="00710AF4">
      <w:pPr>
        <w:spacing w:after="0"/>
        <w:ind w:left="851"/>
        <w:rPr>
          <w:rFonts w:ascii="Times New Roman" w:hAnsi="Times New Roman" w:cs="Times New Roman"/>
        </w:rPr>
      </w:pPr>
      <w:r w:rsidRPr="00710AF4">
        <w:rPr>
          <w:rFonts w:ascii="Times New Roman" w:hAnsi="Times New Roman" w:cs="Times New Roman"/>
        </w:rPr>
        <w:t xml:space="preserve">b) Tisak knjige Flora i fauna otoka Šolte </w:t>
      </w:r>
    </w:p>
    <w:p w:rsidR="00710AF4" w:rsidRPr="00710AF4" w:rsidRDefault="00710AF4" w:rsidP="00710AF4">
      <w:pPr>
        <w:spacing w:after="0"/>
        <w:ind w:left="851"/>
        <w:rPr>
          <w:rFonts w:ascii="Times New Roman" w:hAnsi="Times New Roman" w:cs="Times New Roman"/>
          <w:sz w:val="32"/>
        </w:rPr>
      </w:pPr>
      <w:r w:rsidRPr="00710AF4">
        <w:rPr>
          <w:rFonts w:ascii="Times New Roman" w:hAnsi="Times New Roman" w:cs="Times New Roman"/>
        </w:rPr>
        <w:t xml:space="preserve">c) Tri dodatne kazališne predstave (noćenja i autorski ugovori) </w:t>
      </w:r>
    </w:p>
    <w:p w:rsidR="00883CFC" w:rsidRPr="00883CFC" w:rsidRDefault="00883CFC" w:rsidP="00883C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0E8" w:rsidRPr="00F312DB" w:rsidRDefault="00690217" w:rsidP="00F312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Čl</w:t>
      </w:r>
      <w:r w:rsidR="00F312DB">
        <w:rPr>
          <w:rFonts w:ascii="Times New Roman" w:eastAsia="Times New Roman" w:hAnsi="Times New Roman" w:cs="Times New Roman"/>
          <w:sz w:val="24"/>
          <w:szCs w:val="24"/>
          <w:lang w:val="pl-PL"/>
        </w:rPr>
        <w:t>anak 4.</w:t>
      </w:r>
    </w:p>
    <w:p w:rsidR="00ED0A20" w:rsidRPr="00690217" w:rsidRDefault="00691751" w:rsidP="00ED0A20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 w:rsidRPr="00690217">
        <w:rPr>
          <w:rFonts w:ascii="Times New Roman" w:eastAsia="Times New Roman" w:hAnsi="Times New Roman" w:cs="Times New Roman"/>
          <w:lang w:val="pl-PL"/>
        </w:rPr>
        <w:t>Ove Izmjene i dopune</w:t>
      </w:r>
      <w:r w:rsidR="00ED0A20" w:rsidRPr="00690217">
        <w:rPr>
          <w:rFonts w:ascii="Times New Roman" w:eastAsia="Times New Roman" w:hAnsi="Times New Roman" w:cs="Times New Roman"/>
          <w:lang w:val="pl-PL"/>
        </w:rPr>
        <w:t xml:space="preserve"> Proračun</w:t>
      </w:r>
      <w:r w:rsidRPr="00690217">
        <w:rPr>
          <w:rFonts w:ascii="Times New Roman" w:eastAsia="Times New Roman" w:hAnsi="Times New Roman" w:cs="Times New Roman"/>
          <w:lang w:val="pl-PL"/>
        </w:rPr>
        <w:t>a</w:t>
      </w:r>
      <w:r w:rsidR="00ED0A20" w:rsidRPr="00690217">
        <w:rPr>
          <w:rFonts w:ascii="Times New Roman" w:eastAsia="Times New Roman" w:hAnsi="Times New Roman" w:cs="Times New Roman"/>
          <w:lang w:val="pl-PL"/>
        </w:rPr>
        <w:t xml:space="preserve"> stupa</w:t>
      </w:r>
      <w:r w:rsidRPr="00690217">
        <w:rPr>
          <w:rFonts w:ascii="Times New Roman" w:eastAsia="Times New Roman" w:hAnsi="Times New Roman" w:cs="Times New Roman"/>
          <w:lang w:val="pl-PL"/>
        </w:rPr>
        <w:t>ju</w:t>
      </w:r>
      <w:r w:rsidR="00ED0A20" w:rsidRPr="00690217">
        <w:rPr>
          <w:rFonts w:ascii="Times New Roman" w:eastAsia="Times New Roman" w:hAnsi="Times New Roman" w:cs="Times New Roman"/>
          <w:lang w:val="pl-PL"/>
        </w:rPr>
        <w:t xml:space="preserve"> na snagu </w:t>
      </w:r>
      <w:r w:rsidR="00EB448B" w:rsidRPr="00690217">
        <w:rPr>
          <w:rFonts w:ascii="Times New Roman" w:eastAsia="Times New Roman" w:hAnsi="Times New Roman" w:cs="Times New Roman"/>
          <w:lang w:val="pl-PL"/>
        </w:rPr>
        <w:t>danom</w:t>
      </w:r>
      <w:r w:rsidR="00ED286D" w:rsidRPr="00690217">
        <w:rPr>
          <w:rFonts w:ascii="Times New Roman" w:eastAsia="Times New Roman" w:hAnsi="Times New Roman" w:cs="Times New Roman"/>
          <w:lang w:val="pl-PL"/>
        </w:rPr>
        <w:t xml:space="preserve"> objave</w:t>
      </w:r>
      <w:r w:rsidR="00ED0A20" w:rsidRPr="00690217">
        <w:rPr>
          <w:rFonts w:ascii="Times New Roman" w:eastAsia="Times New Roman" w:hAnsi="Times New Roman" w:cs="Times New Roman"/>
          <w:lang w:val="pl-PL"/>
        </w:rPr>
        <w:t xml:space="preserve"> u „Službenom glasniku Općine Šolta”.</w:t>
      </w:r>
    </w:p>
    <w:p w:rsidR="00B976F8" w:rsidRPr="00690217" w:rsidRDefault="00B976F8" w:rsidP="00B976F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710AF4" w:rsidRPr="00710AF4" w:rsidRDefault="00710AF4" w:rsidP="0071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LASA</w:t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400-06/23-01/</w:t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03</w:t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Predsjednik</w:t>
      </w:r>
      <w:proofErr w:type="spellEnd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Općinskog</w:t>
      </w:r>
      <w:proofErr w:type="spellEnd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710AF4" w:rsidRPr="00710AF4" w:rsidRDefault="00710AF4" w:rsidP="0071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URBROJ:</w:t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2181-49-01-23-</w:t>
      </w:r>
    </w:p>
    <w:p w:rsidR="00ED0A20" w:rsidRPr="00690217" w:rsidRDefault="00710AF4" w:rsidP="00710AF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Grohote</w:t>
      </w:r>
      <w:proofErr w:type="spellEnd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, __________2023.</w:t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Teo</w:t>
      </w:r>
      <w:proofErr w:type="spellEnd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Tomić</w:t>
      </w:r>
      <w:proofErr w:type="spellEnd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dipl.iur</w:t>
      </w:r>
      <w:proofErr w:type="spellEnd"/>
      <w:r w:rsidRPr="00710AF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sectPr w:rsidR="00ED0A20" w:rsidRPr="00690217" w:rsidSect="00DF43A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77" w:rsidRDefault="00505E77" w:rsidP="00F01F02">
      <w:pPr>
        <w:spacing w:after="0" w:line="240" w:lineRule="auto"/>
      </w:pPr>
      <w:r>
        <w:separator/>
      </w:r>
    </w:p>
  </w:endnote>
  <w:endnote w:type="continuationSeparator" w:id="0">
    <w:p w:rsidR="00505E77" w:rsidRDefault="00505E77" w:rsidP="00F0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239982"/>
      <w:docPartObj>
        <w:docPartGallery w:val="Page Numbers (Bottom of Page)"/>
        <w:docPartUnique/>
      </w:docPartObj>
    </w:sdtPr>
    <w:sdtEndPr/>
    <w:sdtContent>
      <w:p w:rsidR="00C12F6D" w:rsidRDefault="00C12F6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E7">
          <w:rPr>
            <w:noProof/>
          </w:rPr>
          <w:t>15</w:t>
        </w:r>
        <w:r>
          <w:fldChar w:fldCharType="end"/>
        </w:r>
      </w:p>
    </w:sdtContent>
  </w:sdt>
  <w:p w:rsidR="00C12F6D" w:rsidRDefault="00C12F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77" w:rsidRDefault="00505E77" w:rsidP="00F01F02">
      <w:pPr>
        <w:spacing w:after="0" w:line="240" w:lineRule="auto"/>
      </w:pPr>
      <w:r>
        <w:separator/>
      </w:r>
    </w:p>
  </w:footnote>
  <w:footnote w:type="continuationSeparator" w:id="0">
    <w:p w:rsidR="00505E77" w:rsidRDefault="00505E77" w:rsidP="00F0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47"/>
    <w:multiLevelType w:val="hybridMultilevel"/>
    <w:tmpl w:val="AA6EB37A"/>
    <w:lvl w:ilvl="0" w:tplc="8E9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585"/>
    <w:multiLevelType w:val="hybridMultilevel"/>
    <w:tmpl w:val="F0F474E0"/>
    <w:lvl w:ilvl="0" w:tplc="556C9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AFA"/>
    <w:multiLevelType w:val="hybridMultilevel"/>
    <w:tmpl w:val="C27C9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944"/>
    <w:multiLevelType w:val="hybridMultilevel"/>
    <w:tmpl w:val="51464922"/>
    <w:lvl w:ilvl="0" w:tplc="9F10CB6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2"/>
    <w:rsid w:val="000247B2"/>
    <w:rsid w:val="000318C9"/>
    <w:rsid w:val="00037CC0"/>
    <w:rsid w:val="001077F4"/>
    <w:rsid w:val="00107948"/>
    <w:rsid w:val="001217A8"/>
    <w:rsid w:val="00165334"/>
    <w:rsid w:val="00174EC5"/>
    <w:rsid w:val="001A7713"/>
    <w:rsid w:val="001D2ED0"/>
    <w:rsid w:val="001D304C"/>
    <w:rsid w:val="001D4E9D"/>
    <w:rsid w:val="0023133D"/>
    <w:rsid w:val="002331E7"/>
    <w:rsid w:val="002642B2"/>
    <w:rsid w:val="002A025F"/>
    <w:rsid w:val="002C40E8"/>
    <w:rsid w:val="002E7E60"/>
    <w:rsid w:val="00303B11"/>
    <w:rsid w:val="003405BC"/>
    <w:rsid w:val="00346708"/>
    <w:rsid w:val="00397730"/>
    <w:rsid w:val="003A5077"/>
    <w:rsid w:val="004044AC"/>
    <w:rsid w:val="004338CB"/>
    <w:rsid w:val="004458F7"/>
    <w:rsid w:val="00466CB1"/>
    <w:rsid w:val="004E4BFB"/>
    <w:rsid w:val="00505E77"/>
    <w:rsid w:val="0056434B"/>
    <w:rsid w:val="005F1435"/>
    <w:rsid w:val="006237DF"/>
    <w:rsid w:val="00641E1A"/>
    <w:rsid w:val="0066650E"/>
    <w:rsid w:val="0067749D"/>
    <w:rsid w:val="00690217"/>
    <w:rsid w:val="00691751"/>
    <w:rsid w:val="006F5E3B"/>
    <w:rsid w:val="00710AF4"/>
    <w:rsid w:val="00723692"/>
    <w:rsid w:val="007755FF"/>
    <w:rsid w:val="007913A4"/>
    <w:rsid w:val="007E0DE8"/>
    <w:rsid w:val="007F09EB"/>
    <w:rsid w:val="00842A73"/>
    <w:rsid w:val="00883CFC"/>
    <w:rsid w:val="008B1ED0"/>
    <w:rsid w:val="008B2D86"/>
    <w:rsid w:val="008B39BF"/>
    <w:rsid w:val="008D0F5D"/>
    <w:rsid w:val="008E7895"/>
    <w:rsid w:val="009215DB"/>
    <w:rsid w:val="00930F02"/>
    <w:rsid w:val="00983D93"/>
    <w:rsid w:val="00A4019A"/>
    <w:rsid w:val="00A412CE"/>
    <w:rsid w:val="00A47B70"/>
    <w:rsid w:val="00A5488B"/>
    <w:rsid w:val="00AC3185"/>
    <w:rsid w:val="00B34AC8"/>
    <w:rsid w:val="00B96083"/>
    <w:rsid w:val="00B976F8"/>
    <w:rsid w:val="00BC43B4"/>
    <w:rsid w:val="00C05008"/>
    <w:rsid w:val="00C12F6D"/>
    <w:rsid w:val="00C360D6"/>
    <w:rsid w:val="00C71C03"/>
    <w:rsid w:val="00C74A54"/>
    <w:rsid w:val="00C809CC"/>
    <w:rsid w:val="00C85091"/>
    <w:rsid w:val="00C90B71"/>
    <w:rsid w:val="00CB13DD"/>
    <w:rsid w:val="00D4070C"/>
    <w:rsid w:val="00D5671A"/>
    <w:rsid w:val="00D946BB"/>
    <w:rsid w:val="00DC3ED0"/>
    <w:rsid w:val="00DC4760"/>
    <w:rsid w:val="00DF43A4"/>
    <w:rsid w:val="00E36453"/>
    <w:rsid w:val="00EA48FC"/>
    <w:rsid w:val="00EB448B"/>
    <w:rsid w:val="00ED0A20"/>
    <w:rsid w:val="00ED286D"/>
    <w:rsid w:val="00F01F02"/>
    <w:rsid w:val="00F147D2"/>
    <w:rsid w:val="00F312DB"/>
    <w:rsid w:val="00F37D2B"/>
    <w:rsid w:val="00F43B69"/>
    <w:rsid w:val="00F84CB2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9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F02"/>
  </w:style>
  <w:style w:type="paragraph" w:styleId="Podnoje">
    <w:name w:val="footer"/>
    <w:basedOn w:val="Normal"/>
    <w:link w:val="Podno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F02"/>
  </w:style>
  <w:style w:type="paragraph" w:styleId="Bezproreda">
    <w:name w:val="No Spacing"/>
    <w:uiPriority w:val="1"/>
    <w:qFormat/>
    <w:rsid w:val="001A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D0A2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0A20"/>
    <w:rPr>
      <w:color w:val="800080"/>
      <w:u w:val="single"/>
    </w:rPr>
  </w:style>
  <w:style w:type="paragraph" w:customStyle="1" w:styleId="xl65">
    <w:name w:val="xl65"/>
    <w:basedOn w:val="Normal"/>
    <w:rsid w:val="00ED0A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E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ED0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D0A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D0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4">
    <w:name w:val="xl64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9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F02"/>
  </w:style>
  <w:style w:type="paragraph" w:styleId="Podnoje">
    <w:name w:val="footer"/>
    <w:basedOn w:val="Normal"/>
    <w:link w:val="PodnojeChar"/>
    <w:uiPriority w:val="99"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F02"/>
  </w:style>
  <w:style w:type="paragraph" w:styleId="Bezproreda">
    <w:name w:val="No Spacing"/>
    <w:uiPriority w:val="1"/>
    <w:qFormat/>
    <w:rsid w:val="001A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D0A2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0A20"/>
    <w:rPr>
      <w:color w:val="800080"/>
      <w:u w:val="single"/>
    </w:rPr>
  </w:style>
  <w:style w:type="paragraph" w:customStyle="1" w:styleId="xl65">
    <w:name w:val="xl65"/>
    <w:basedOn w:val="Normal"/>
    <w:rsid w:val="00ED0A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E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ED0A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ED0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D0A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D0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ED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4">
    <w:name w:val="xl64"/>
    <w:basedOn w:val="Normal"/>
    <w:rsid w:val="00ED0A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919C-C19B-4AF8-8C72-6D2DFE0F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6173</Words>
  <Characters>35190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2023-06-21T09:06:00Z</cp:lastPrinted>
  <dcterms:created xsi:type="dcterms:W3CDTF">2023-06-21T09:48:00Z</dcterms:created>
  <dcterms:modified xsi:type="dcterms:W3CDTF">2023-06-21T09:51:00Z</dcterms:modified>
</cp:coreProperties>
</file>